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mbria" w:cs="Cambria" w:eastAsia="Cambria" w:hAnsi="Cambria"/>
          <w:b w:val="1"/>
        </w:rPr>
      </w:pPr>
      <w:bookmarkStart w:colFirst="0" w:colLast="0" w:name="_heading=h.gjdgxs" w:id="0"/>
      <w:bookmarkEnd w:id="0"/>
      <w:r w:rsidDel="00000000" w:rsidR="00000000" w:rsidRPr="00000000">
        <w:rPr>
          <w:rFonts w:ascii="Cambria" w:cs="Cambria" w:eastAsia="Cambria" w:hAnsi="Cambria"/>
          <w:b w:val="1"/>
          <w:rtl w:val="0"/>
        </w:rPr>
        <w:t xml:space="preserve">Template for Internship Coordination and Support Using Reflective Writing</w:t>
      </w:r>
    </w:p>
    <w:p w:rsidR="00000000" w:rsidDel="00000000" w:rsidP="00000000" w:rsidRDefault="00000000" w:rsidRPr="00000000" w14:paraId="00000002">
      <w:pPr>
        <w:jc w:val="center"/>
        <w:rPr>
          <w:rFonts w:ascii="Cambria" w:cs="Cambria" w:eastAsia="Cambria" w:hAnsi="Cambria"/>
        </w:rPr>
      </w:pPr>
      <w:bookmarkStart w:colFirst="0" w:colLast="0" w:name="_heading=h.gk6v1xsrap5m" w:id="1"/>
      <w:bookmarkEnd w:id="1"/>
      <w:r w:rsidDel="00000000" w:rsidR="00000000" w:rsidRPr="00000000">
        <w:rPr>
          <w:rFonts w:ascii="Cambria" w:cs="Cambria" w:eastAsia="Cambria" w:hAnsi="Cambria"/>
          <w:rtl w:val="0"/>
        </w:rPr>
        <w:t xml:space="preserve">by John Bennion and Trina Harding</w:t>
      </w:r>
    </w:p>
    <w:p w:rsidR="00000000" w:rsidDel="00000000" w:rsidP="00000000" w:rsidRDefault="00000000" w:rsidRPr="00000000" w14:paraId="00000003">
      <w:pPr>
        <w:rPr>
          <w:rFonts w:ascii="Cambria" w:cs="Cambria" w:eastAsia="Cambria" w:hAnsi="Cambria"/>
          <w:b w:val="1"/>
        </w:rPr>
      </w:pPr>
      <w:r w:rsidDel="00000000" w:rsidR="00000000" w:rsidRPr="00000000">
        <w:rPr>
          <w:rtl w:val="0"/>
        </w:rPr>
      </w:r>
    </w:p>
    <w:p w:rsidR="00000000" w:rsidDel="00000000" w:rsidP="00000000" w:rsidRDefault="00000000" w:rsidRPr="00000000" w14:paraId="00000004">
      <w:pPr>
        <w:rPr>
          <w:rFonts w:ascii="Cambria" w:cs="Cambria" w:eastAsia="Cambria" w:hAnsi="Cambria"/>
          <w:i w:val="0"/>
          <w:smallCaps w:val="0"/>
          <w:strike w:val="0"/>
          <w:color w:val="000000"/>
          <w:sz w:val="24"/>
          <w:szCs w:val="24"/>
          <w:u w:val="none"/>
          <w:shd w:fill="auto" w:val="clear"/>
          <w:vertAlign w:val="baseline"/>
        </w:rPr>
      </w:pPr>
      <w:r w:rsidDel="00000000" w:rsidR="00000000" w:rsidRPr="00000000">
        <w:rPr>
          <w:rFonts w:ascii="Cambria" w:cs="Cambria" w:eastAsia="Cambria" w:hAnsi="Cambria"/>
          <w:rtl w:val="0"/>
        </w:rPr>
        <w:t xml:space="preserve">This document offers a template for adapting an experience-based internship program to one that combines experience and reflection, specifically reflective writing. The basic premise of this document is that experience when combined with a process involving intention, reflection, and application enables lifelong learning. This template could apply to internships, research assistantships, teaching assistantships, and other experiential internship programs. </w:t>
      </w: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6">
      <w:pPr>
        <w:rPr>
          <w:rFonts w:ascii="Cambria" w:cs="Cambria" w:eastAsia="Cambria" w:hAnsi="Cambria"/>
        </w:rPr>
      </w:pPr>
      <w:r w:rsidDel="00000000" w:rsidR="00000000" w:rsidRPr="00000000">
        <w:rPr>
          <w:rFonts w:ascii="Cambria" w:cs="Cambria" w:eastAsia="Cambria" w:hAnsi="Cambria"/>
          <w:b w:val="1"/>
          <w:rtl w:val="0"/>
        </w:rPr>
        <w:t xml:space="preserve">Theoretical bases</w:t>
      </w:r>
      <w:r w:rsidDel="00000000" w:rsidR="00000000" w:rsidRPr="00000000">
        <w:rPr>
          <w:rFonts w:ascii="Cambria" w:cs="Cambria" w:eastAsia="Cambria" w:hAnsi="Cambria"/>
          <w:rtl w:val="0"/>
        </w:rPr>
        <w:t xml:space="preserve"> from Harding (2019) </w:t>
      </w:r>
    </w:p>
    <w:p w:rsidR="00000000" w:rsidDel="00000000" w:rsidP="00000000" w:rsidRDefault="00000000" w:rsidRPr="00000000" w14:paraId="0000000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Agentic Learning (Yanchar, 2011; Yanchar and Spackman, 20</w:t>
      </w:r>
      <w:r w:rsidDel="00000000" w:rsidR="00000000" w:rsidRPr="00000000">
        <w:rPr>
          <w:rFonts w:ascii="Cambria" w:cs="Cambria" w:eastAsia="Cambria" w:hAnsi="Cambria"/>
          <w:rtl w:val="0"/>
        </w:rPr>
        <w:t xml:space="preserve">12; Yanchar, Spackman, and Faulconer, 2013). </w:t>
      </w:r>
      <w:r w:rsidDel="00000000" w:rsidR="00000000" w:rsidRPr="00000000">
        <w:rPr>
          <w:rtl w:val="0"/>
        </w:rPr>
      </w:r>
    </w:p>
    <w:p w:rsidR="00000000" w:rsidDel="00000000" w:rsidP="00000000" w:rsidRDefault="00000000" w:rsidRPr="00000000" w14:paraId="0000000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Self-determination theory (Ryan</w:t>
      </w:r>
      <w:r w:rsidDel="00000000" w:rsidR="00000000" w:rsidRPr="00000000">
        <w:rPr>
          <w:rFonts w:ascii="Cambria" w:cs="Cambria" w:eastAsia="Cambria" w:hAnsi="Cambria"/>
          <w:rtl w:val="0"/>
        </w:rPr>
        <w:t xml:space="preserve"> and Deci, 2000</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w:t>
      </w:r>
      <w:r w:rsidDel="00000000" w:rsidR="00000000" w:rsidRPr="00000000">
        <w:rPr>
          <w:rFonts w:ascii="Cambria" w:cs="Cambria" w:eastAsia="Cambria" w:hAnsi="Cambria"/>
          <w:rtl w:val="0"/>
        </w:rPr>
        <w:t xml:space="preserve">Specifically autonomy, relatedness, competency. </w:t>
      </w:r>
      <w:r w:rsidDel="00000000" w:rsidR="00000000" w:rsidRPr="00000000">
        <w:rPr>
          <w:rtl w:val="0"/>
        </w:rPr>
      </w:r>
    </w:p>
    <w:p w:rsidR="00000000" w:rsidDel="00000000" w:rsidP="00000000" w:rsidRDefault="00000000" w:rsidRPr="00000000" w14:paraId="0000000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Narrative Learning theory (Clark</w:t>
      </w:r>
      <w:r w:rsidDel="00000000" w:rsidR="00000000" w:rsidRPr="00000000">
        <w:rPr>
          <w:rFonts w:ascii="Cambria" w:cs="Cambria" w:eastAsia="Cambria" w:hAnsi="Cambria"/>
          <w:rtl w:val="0"/>
        </w:rPr>
        <w:t xml:space="preserve">,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2010</w:t>
      </w:r>
      <w:r w:rsidDel="00000000" w:rsidR="00000000" w:rsidRPr="00000000">
        <w:rPr>
          <w:rFonts w:ascii="Cambria" w:cs="Cambria" w:eastAsia="Cambria" w:hAnsi="Cambria"/>
          <w:rtl w:val="0"/>
        </w:rPr>
        <w:t xml:space="preserve">;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Clark &amp; Rossiter</w:t>
      </w:r>
      <w:r w:rsidDel="00000000" w:rsidR="00000000" w:rsidRPr="00000000">
        <w:rPr>
          <w:rFonts w:ascii="Cambria" w:cs="Cambria" w:eastAsia="Cambria" w:hAnsi="Cambria"/>
          <w:rtl w:val="0"/>
        </w:rPr>
        <w:t xml:space="preserve">,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2008).</w:t>
      </w:r>
    </w:p>
    <w:p w:rsidR="00000000" w:rsidDel="00000000" w:rsidP="00000000" w:rsidRDefault="00000000" w:rsidRPr="00000000" w14:paraId="0000000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Experiential Learning theory (Kolb</w:t>
      </w:r>
      <w:r w:rsidDel="00000000" w:rsidR="00000000" w:rsidRPr="00000000">
        <w:rPr>
          <w:rFonts w:ascii="Cambria" w:cs="Cambria" w:eastAsia="Cambria" w:hAnsi="Cambria"/>
          <w:rtl w:val="0"/>
        </w:rPr>
        <w:t xml:space="preserve"> and Kolb, 2005; Kolb, 2015).</w:t>
      </w:r>
      <w:r w:rsidDel="00000000" w:rsidR="00000000" w:rsidRPr="00000000">
        <w:rPr>
          <w:rtl w:val="0"/>
        </w:rPr>
      </w:r>
    </w:p>
    <w:p w:rsidR="00000000" w:rsidDel="00000000" w:rsidP="00000000" w:rsidRDefault="00000000" w:rsidRPr="00000000" w14:paraId="0000000B">
      <w:pPr>
        <w:rPr>
          <w:rFonts w:ascii="Cambria" w:cs="Cambria" w:eastAsia="Cambria" w:hAnsi="Cambria"/>
          <w:u w:val="single"/>
        </w:rPr>
      </w:pPr>
      <w:r w:rsidDel="00000000" w:rsidR="00000000" w:rsidRPr="00000000">
        <w:rPr>
          <w:rtl w:val="0"/>
        </w:rPr>
      </w:r>
    </w:p>
    <w:p w:rsidR="00000000" w:rsidDel="00000000" w:rsidP="00000000" w:rsidRDefault="00000000" w:rsidRPr="00000000" w14:paraId="0000000C">
      <w:pPr>
        <w:rPr>
          <w:rFonts w:ascii="Cambria" w:cs="Cambria" w:eastAsia="Cambria" w:hAnsi="Cambria"/>
          <w:b w:val="1"/>
        </w:rPr>
      </w:pPr>
      <w:r w:rsidDel="00000000" w:rsidR="00000000" w:rsidRPr="00000000">
        <w:rPr>
          <w:rFonts w:ascii="Cambria" w:cs="Cambria" w:eastAsia="Cambria" w:hAnsi="Cambria"/>
          <w:b w:val="1"/>
          <w:rtl w:val="0"/>
        </w:rPr>
        <w:t xml:space="preserve">Operating procedures/Ground Rules</w:t>
      </w:r>
    </w:p>
    <w:p w:rsidR="00000000" w:rsidDel="00000000" w:rsidP="00000000" w:rsidRDefault="00000000" w:rsidRPr="00000000" w14:paraId="0000000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Reflection comes through discussion and writing (a hybrid of narration and reflection) </w:t>
      </w:r>
    </w:p>
    <w:p w:rsidR="00000000" w:rsidDel="00000000" w:rsidP="00000000" w:rsidRDefault="00000000" w:rsidRPr="00000000" w14:paraId="0000000E">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Experience is mentored (Face-to-face contact with an experiential learning advisor) </w:t>
      </w:r>
    </w:p>
    <w:p w:rsidR="00000000" w:rsidDel="00000000" w:rsidP="00000000" w:rsidRDefault="00000000" w:rsidRPr="00000000" w14:paraId="0000000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The elements of intention, reflection, and integration are recursive, cycled through, rather than being tied to stages in the program (all intention is created at the beginning, all reflection and integration come at the end).</w:t>
      </w:r>
    </w:p>
    <w:p w:rsidR="00000000" w:rsidDel="00000000" w:rsidP="00000000" w:rsidRDefault="00000000" w:rsidRPr="00000000" w14:paraId="0000001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Evaluation of individuals and program focuses on qualitative, individually shaped data, with quantitative data viewed as less essential. </w:t>
      </w:r>
    </w:p>
    <w:p w:rsidR="00000000" w:rsidDel="00000000" w:rsidP="00000000" w:rsidRDefault="00000000" w:rsidRPr="00000000" w14:paraId="0000001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Stakeholders understand why the time commitment is worthwhile</w:t>
      </w:r>
    </w:p>
    <w:p w:rsidR="00000000" w:rsidDel="00000000" w:rsidP="00000000" w:rsidRDefault="00000000" w:rsidRPr="00000000" w14:paraId="00000012">
      <w:pPr>
        <w:rPr>
          <w:rFonts w:ascii="Cambria" w:cs="Cambria" w:eastAsia="Cambria" w:hAnsi="Cambria"/>
        </w:rPr>
      </w:pPr>
      <w:r w:rsidDel="00000000" w:rsidR="00000000" w:rsidRPr="00000000">
        <w:rPr>
          <w:rtl w:val="0"/>
        </w:rPr>
      </w:r>
    </w:p>
    <w:p w:rsidR="00000000" w:rsidDel="00000000" w:rsidP="00000000" w:rsidRDefault="00000000" w:rsidRPr="00000000" w14:paraId="00000013">
      <w:pPr>
        <w:rPr>
          <w:rFonts w:ascii="Cambria" w:cs="Cambria" w:eastAsia="Cambria" w:hAnsi="Cambria"/>
          <w:b w:val="1"/>
        </w:rPr>
      </w:pPr>
      <w:r w:rsidDel="00000000" w:rsidR="00000000" w:rsidRPr="00000000">
        <w:rPr>
          <w:rFonts w:ascii="Cambria" w:cs="Cambria" w:eastAsia="Cambria" w:hAnsi="Cambria"/>
          <w:b w:val="1"/>
          <w:rtl w:val="0"/>
        </w:rPr>
        <w:t xml:space="preserve">Roles of participants</w:t>
      </w:r>
    </w:p>
    <w:p w:rsidR="00000000" w:rsidDel="00000000" w:rsidP="00000000" w:rsidRDefault="00000000" w:rsidRPr="00000000" w14:paraId="00000014">
      <w:pPr>
        <w:rPr>
          <w:rFonts w:ascii="Cambria" w:cs="Cambria" w:eastAsia="Cambria" w:hAnsi="Cambria"/>
        </w:rPr>
      </w:pPr>
      <w:r w:rsidDel="00000000" w:rsidR="00000000" w:rsidRPr="00000000">
        <w:rPr>
          <w:rtl w:val="0"/>
        </w:rPr>
      </w:r>
    </w:p>
    <w:p w:rsidR="00000000" w:rsidDel="00000000" w:rsidP="00000000" w:rsidRDefault="00000000" w:rsidRPr="00000000" w14:paraId="0000001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The learner (student, intern, experiencer), </w:t>
      </w:r>
    </w:p>
    <w:p w:rsidR="00000000" w:rsidDel="00000000" w:rsidP="00000000" w:rsidRDefault="00000000" w:rsidRPr="00000000" w14:paraId="0000001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a manager who directs the physical experience (the boss, the lead scientist, the teacher),</w:t>
      </w:r>
    </w:p>
    <w:p w:rsidR="00000000" w:rsidDel="00000000" w:rsidP="00000000" w:rsidRDefault="00000000" w:rsidRPr="00000000" w14:paraId="0000001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the mentor (internship coordinator, English 394 teacher, field studies coordinator). The mentor sees herself as a professional competencies coach, fostering intention and reflection and helping identify lifelong learning skills. It may work for the manager and the mentor to be the same person, but the roles are very different. </w:t>
      </w:r>
    </w:p>
    <w:p w:rsidR="00000000" w:rsidDel="00000000" w:rsidP="00000000" w:rsidRDefault="00000000" w:rsidRPr="00000000" w14:paraId="0000001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A peer mentor could help the learner translate or contextualize the manager’s direction and help identify and implement skills. </w:t>
      </w:r>
    </w:p>
    <w:p w:rsidR="00000000" w:rsidDel="00000000" w:rsidP="00000000" w:rsidRDefault="00000000" w:rsidRPr="00000000" w14:paraId="00000019">
      <w:pPr>
        <w:rPr>
          <w:rFonts w:ascii="Cambria" w:cs="Cambria" w:eastAsia="Cambria" w:hAnsi="Cambria"/>
        </w:rPr>
      </w:pPr>
      <w:r w:rsidDel="00000000" w:rsidR="00000000" w:rsidRPr="00000000">
        <w:rPr>
          <w:rtl w:val="0"/>
        </w:rPr>
      </w:r>
    </w:p>
    <w:p w:rsidR="00000000" w:rsidDel="00000000" w:rsidP="00000000" w:rsidRDefault="00000000" w:rsidRPr="00000000" w14:paraId="0000001A">
      <w:pPr>
        <w:rPr>
          <w:rFonts w:ascii="Cambria" w:cs="Cambria" w:eastAsia="Cambria" w:hAnsi="Cambria"/>
          <w:b w:val="1"/>
        </w:rPr>
      </w:pPr>
      <w:r w:rsidDel="00000000" w:rsidR="00000000" w:rsidRPr="00000000">
        <w:rPr>
          <w:rFonts w:ascii="Cambria" w:cs="Cambria" w:eastAsia="Cambria" w:hAnsi="Cambria"/>
          <w:b w:val="1"/>
          <w:rtl w:val="0"/>
        </w:rPr>
        <w:t xml:space="preserve">The Process </w:t>
      </w:r>
    </w:p>
    <w:p w:rsidR="00000000" w:rsidDel="00000000" w:rsidP="00000000" w:rsidRDefault="00000000" w:rsidRPr="00000000" w14:paraId="0000001B">
      <w:pPr>
        <w:rPr>
          <w:rFonts w:ascii="Cambria" w:cs="Cambria" w:eastAsia="Cambria" w:hAnsi="Cambria"/>
          <w:u w:val="single"/>
        </w:rPr>
      </w:pPr>
      <w:r w:rsidDel="00000000" w:rsidR="00000000" w:rsidRPr="00000000">
        <w:rPr>
          <w:rFonts w:ascii="Cambria" w:cs="Cambria" w:eastAsia="Cambria" w:hAnsi="Cambria"/>
          <w:u w:val="single"/>
          <w:rtl w:val="0"/>
        </w:rPr>
        <w:t xml:space="preserve">Intention</w:t>
      </w:r>
    </w:p>
    <w:p w:rsidR="00000000" w:rsidDel="00000000" w:rsidP="00000000" w:rsidRDefault="00000000" w:rsidRPr="00000000" w14:paraId="0000001C">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Program design</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The guiding documents (syllabi) of the program help the students focus on the process of learning from the experience and use the theories described above (agentic design, self-determination theory, narrative learning theory, and the experiential learning cycle—Kolb). </w:t>
      </w:r>
    </w:p>
    <w:p w:rsidR="00000000" w:rsidDel="00000000" w:rsidP="00000000" w:rsidRDefault="00000000" w:rsidRPr="00000000" w14:paraId="0000001D">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Meet with mentor</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Personal goal setting is accomplished with the mentor and the learner face-to-face in interviews and during the prep class.This meeting is to create bridges between the student’s personal objectives and the Professional Competencies. This meeting also clarifies the roles of those involved: manager, mentor, learner, and peer mentor. The mentor helps the intern design personal goals, designed with understanding of the Humanities Professional Competencies.</w:t>
      </w:r>
    </w:p>
    <w:p w:rsidR="00000000" w:rsidDel="00000000" w:rsidP="00000000" w:rsidRDefault="00000000" w:rsidRPr="00000000" w14:paraId="0000001E">
      <w:pPr>
        <w:rPr>
          <w:rFonts w:ascii="Cambria" w:cs="Cambria" w:eastAsia="Cambria" w:hAnsi="Cambria"/>
        </w:rPr>
      </w:pPr>
      <w:r w:rsidDel="00000000" w:rsidR="00000000" w:rsidRPr="00000000">
        <w:rPr>
          <w:rtl w:val="0"/>
        </w:rPr>
      </w:r>
    </w:p>
    <w:p w:rsidR="00000000" w:rsidDel="00000000" w:rsidP="00000000" w:rsidRDefault="00000000" w:rsidRPr="00000000" w14:paraId="0000001F">
      <w:pPr>
        <w:rPr>
          <w:rFonts w:ascii="Cambria" w:cs="Cambria" w:eastAsia="Cambria" w:hAnsi="Cambria"/>
          <w:u w:val="single"/>
        </w:rPr>
      </w:pPr>
      <w:r w:rsidDel="00000000" w:rsidR="00000000" w:rsidRPr="00000000">
        <w:rPr>
          <w:rFonts w:ascii="Cambria" w:cs="Cambria" w:eastAsia="Cambria" w:hAnsi="Cambria"/>
          <w:u w:val="single"/>
          <w:rtl w:val="0"/>
        </w:rPr>
        <w:t xml:space="preserve">Reflection/integration</w:t>
      </w:r>
    </w:p>
    <w:p w:rsidR="00000000" w:rsidDel="00000000" w:rsidP="00000000" w:rsidRDefault="00000000" w:rsidRPr="00000000" w14:paraId="00000020">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Narrative/Reflective writing</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Periodic written narrative/reflective </w:t>
      </w:r>
      <w:r w:rsidDel="00000000" w:rsidR="00000000" w:rsidRPr="00000000">
        <w:rPr>
          <w:rFonts w:ascii="Cambria" w:cs="Cambria" w:eastAsia="Cambria" w:hAnsi="Cambria"/>
          <w:rtl w:val="0"/>
        </w:rPr>
        <w:t xml:space="preserve">response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essays </w:t>
      </w:r>
      <w:r w:rsidDel="00000000" w:rsidR="00000000" w:rsidRPr="00000000">
        <w:rPr>
          <w:rFonts w:ascii="Cambria" w:cs="Cambria" w:eastAsia="Cambria" w:hAnsi="Cambria"/>
          <w:rtl w:val="0"/>
        </w:rPr>
        <w:t xml:space="preserve">(a paragraph or two)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read by the mentor, with feedback returned to the learner. The assignments/prompts are drawn from the professional competencies, are open-ended,  and help the learner focus on the total experience: </w:t>
      </w:r>
      <w:r w:rsidDel="00000000" w:rsidR="00000000" w:rsidRPr="00000000">
        <w:rPr>
          <w:rtl w:val="0"/>
        </w:rPr>
      </w:r>
    </w:p>
    <w:p w:rsidR="00000000" w:rsidDel="00000000" w:rsidP="00000000" w:rsidRDefault="00000000" w:rsidRPr="00000000" w14:paraId="00000021">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rtl w:val="0"/>
        </w:rPr>
        <w:t xml:space="preserve">What do you hope to get out of this internship experience?</w:t>
      </w:r>
    </w:p>
    <w:p w:rsidR="00000000" w:rsidDel="00000000" w:rsidP="00000000" w:rsidRDefault="00000000" w:rsidRPr="00000000" w14:paraId="00000022">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rtl w:val="0"/>
        </w:rPr>
        <w:t xml:space="preserve">What are your professional goals that this experience will help meet? </w:t>
      </w:r>
    </w:p>
    <w:p w:rsidR="00000000" w:rsidDel="00000000" w:rsidP="00000000" w:rsidRDefault="00000000" w:rsidRPr="00000000" w14:paraId="00000023">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rtl w:val="0"/>
        </w:rPr>
        <w:t xml:space="preserve">Describe your initial experience on your internship in terms of understanding your duties, opening lines of communication, and knowing how to get help. </w:t>
      </w:r>
    </w:p>
    <w:p w:rsidR="00000000" w:rsidDel="00000000" w:rsidP="00000000" w:rsidRDefault="00000000" w:rsidRPr="00000000" w14:paraId="00000024">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What have you learned  in your first week? </w:t>
      </w:r>
      <w:r w:rsidDel="00000000" w:rsidR="00000000" w:rsidRPr="00000000">
        <w:rPr>
          <w:rtl w:val="0"/>
        </w:rPr>
      </w:r>
    </w:p>
    <w:p w:rsidR="00000000" w:rsidDel="00000000" w:rsidP="00000000" w:rsidRDefault="00000000" w:rsidRPr="00000000" w14:paraId="00000025">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Describe professional skills you’ve learned and tie them to anecdotes of experiences where you learned those skills.</w:t>
      </w:r>
      <w:r w:rsidDel="00000000" w:rsidR="00000000" w:rsidRPr="00000000">
        <w:rPr>
          <w:rtl w:val="0"/>
        </w:rPr>
      </w:r>
    </w:p>
    <w:p w:rsidR="00000000" w:rsidDel="00000000" w:rsidP="00000000" w:rsidRDefault="00000000" w:rsidRPr="00000000" w14:paraId="00000026">
      <w:pPr>
        <w:keepNext w:val="0"/>
        <w:keepLines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What experiences have you had which may help you fulfil your goals?</w:t>
      </w:r>
      <w:r w:rsidDel="00000000" w:rsidR="00000000" w:rsidRPr="00000000">
        <w:rPr>
          <w:rtl w:val="0"/>
        </w:rPr>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The later assignments foster integration. </w:t>
      </w:r>
      <w:r w:rsidDel="00000000" w:rsidR="00000000" w:rsidRPr="00000000">
        <w:rPr>
          <w:rFonts w:ascii="Cambria" w:cs="Cambria" w:eastAsia="Cambria" w:hAnsi="Cambria"/>
          <w:rtl w:val="0"/>
        </w:rPr>
        <w:t xml:space="preserve">Slightly longer responses will also help the intern process experience:</w:t>
      </w:r>
    </w:p>
    <w:p w:rsidR="00000000" w:rsidDel="00000000" w:rsidP="00000000" w:rsidRDefault="00000000" w:rsidRPr="00000000" w14:paraId="00000028">
      <w:pPr>
        <w:numPr>
          <w:ilvl w:val="1"/>
          <w:numId w:val="5"/>
        </w:numPr>
        <w:ind w:left="1440" w:hanging="360"/>
        <w:rPr>
          <w:rFonts w:ascii="Cambria" w:cs="Cambria" w:eastAsia="Cambria" w:hAnsi="Cambria"/>
        </w:rPr>
      </w:pPr>
      <w:r w:rsidDel="00000000" w:rsidR="00000000" w:rsidRPr="00000000">
        <w:rPr>
          <w:rFonts w:ascii="Cambria" w:cs="Cambria" w:eastAsia="Cambria" w:hAnsi="Cambria"/>
          <w:rtl w:val="0"/>
        </w:rPr>
        <w:t xml:space="preserve">Report on your work and achievement of your goals (2-3 pp.).</w:t>
      </w:r>
    </w:p>
    <w:p w:rsidR="00000000" w:rsidDel="00000000" w:rsidP="00000000" w:rsidRDefault="00000000" w:rsidRPr="00000000" w14:paraId="00000029">
      <w:pPr>
        <w:numPr>
          <w:ilvl w:val="1"/>
          <w:numId w:val="5"/>
        </w:numPr>
        <w:ind w:left="1440" w:hanging="360"/>
        <w:rPr>
          <w:rFonts w:ascii="Cambria" w:cs="Cambria" w:eastAsia="Cambria" w:hAnsi="Cambria"/>
        </w:rPr>
      </w:pPr>
      <w:r w:rsidDel="00000000" w:rsidR="00000000" w:rsidRPr="00000000">
        <w:rPr>
          <w:rFonts w:ascii="Cambria" w:cs="Cambria" w:eastAsia="Cambria" w:hAnsi="Cambria"/>
          <w:rtl w:val="0"/>
        </w:rPr>
        <w:t xml:space="preserve">Reflect on an experience that seems especially meaningful (2-3 pp.).</w:t>
      </w:r>
    </w:p>
    <w:p w:rsidR="00000000" w:rsidDel="00000000" w:rsidP="00000000" w:rsidRDefault="00000000" w:rsidRPr="00000000" w14:paraId="0000002A">
      <w:pPr>
        <w:numPr>
          <w:ilvl w:val="1"/>
          <w:numId w:val="5"/>
        </w:numPr>
        <w:ind w:left="1440" w:hanging="360"/>
        <w:rPr>
          <w:rFonts w:ascii="Cambria" w:cs="Cambria" w:eastAsia="Cambria" w:hAnsi="Cambria"/>
        </w:rPr>
      </w:pPr>
      <w:r w:rsidDel="00000000" w:rsidR="00000000" w:rsidRPr="00000000">
        <w:rPr>
          <w:rFonts w:ascii="Cambria" w:cs="Cambria" w:eastAsia="Cambria" w:hAnsi="Cambria"/>
          <w:rtl w:val="0"/>
        </w:rPr>
        <w:t xml:space="preserve">Evaluate your internship provider in terms of clarity of expectations, lines of communication, and respectfulness. </w:t>
      </w:r>
    </w:p>
    <w:p w:rsidR="00000000" w:rsidDel="00000000" w:rsidP="00000000" w:rsidRDefault="00000000" w:rsidRPr="00000000" w14:paraId="0000002B">
      <w:pPr>
        <w:numPr>
          <w:ilvl w:val="1"/>
          <w:numId w:val="5"/>
        </w:numPr>
        <w:ind w:left="1440" w:hanging="360"/>
        <w:rPr>
          <w:rFonts w:ascii="Cambria" w:cs="Cambria" w:eastAsia="Cambria" w:hAnsi="Cambria"/>
        </w:rPr>
      </w:pPr>
      <w:r w:rsidDel="00000000" w:rsidR="00000000" w:rsidRPr="00000000">
        <w:rPr>
          <w:rFonts w:ascii="Cambria" w:cs="Cambria" w:eastAsia="Cambria" w:hAnsi="Cambria"/>
          <w:rtl w:val="0"/>
        </w:rPr>
        <w:t xml:space="preserve">Write a cover letter and resume.</w:t>
      </w:r>
    </w:p>
    <w:p w:rsidR="00000000" w:rsidDel="00000000" w:rsidP="00000000" w:rsidRDefault="00000000" w:rsidRPr="00000000" w14:paraId="0000002C">
      <w:pPr>
        <w:numPr>
          <w:ilvl w:val="1"/>
          <w:numId w:val="5"/>
        </w:numPr>
        <w:ind w:left="1440" w:hanging="360"/>
        <w:rPr>
          <w:rFonts w:ascii="Cambria" w:cs="Cambria" w:eastAsia="Cambria" w:hAnsi="Cambria"/>
        </w:rPr>
      </w:pPr>
      <w:r w:rsidDel="00000000" w:rsidR="00000000" w:rsidRPr="00000000">
        <w:rPr>
          <w:rFonts w:ascii="Cambria" w:cs="Cambria" w:eastAsia="Cambria" w:hAnsi="Cambria"/>
          <w:rtl w:val="0"/>
        </w:rPr>
        <w:t xml:space="preserve">Final report--a narrative/reflective essay. </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left"/>
        <w:rPr>
          <w:rFonts w:ascii="Cambria" w:cs="Cambria" w:eastAsia="Cambria" w:hAnsi="Cambria"/>
          <w:i w:val="0"/>
          <w:smallCaps w:val="0"/>
          <w:strike w:val="0"/>
          <w:color w:val="000000"/>
          <w:sz w:val="24"/>
          <w:szCs w:val="24"/>
          <w:u w:val="none"/>
          <w:shd w:fill="auto" w:val="clear"/>
          <w:vertAlign w:val="baseline"/>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For an example of a structured set of writing assignments see Harding “Agentic Design” (pp. 23-6).</w:t>
      </w:r>
    </w:p>
    <w:p w:rsidR="00000000" w:rsidDel="00000000" w:rsidP="00000000" w:rsidRDefault="00000000" w:rsidRPr="00000000" w14:paraId="0000002E">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Communication with and feedback from the mentor</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Correction is not usually good feedback. The mentor takes on the role of a lifelong learning and professional competencies coach, asking questions that will help the learner refocus on competencies, reflect more deeply, reexamine assumptions made in the writing, and learn more from the experience.</w:t>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mbria" w:cs="Cambria" w:eastAsia="Cambria" w:hAnsi="Cambria"/>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0">
      <w:pPr>
        <w:rPr>
          <w:rFonts w:ascii="Cambria" w:cs="Cambria" w:eastAsia="Cambria" w:hAnsi="Cambria"/>
          <w:i w:val="0"/>
          <w:smallCaps w:val="0"/>
          <w:strike w:val="0"/>
          <w:color w:val="000000"/>
          <w:sz w:val="24"/>
          <w:szCs w:val="24"/>
          <w:u w:val="single"/>
          <w:shd w:fill="auto" w:val="clear"/>
          <w:vertAlign w:val="baseline"/>
        </w:rPr>
      </w:pPr>
      <w:r w:rsidDel="00000000" w:rsidR="00000000" w:rsidRPr="00000000">
        <w:rPr>
          <w:rFonts w:ascii="Cambria" w:cs="Cambria" w:eastAsia="Cambria" w:hAnsi="Cambria"/>
          <w:u w:val="single"/>
          <w:rtl w:val="0"/>
        </w:rPr>
        <w:t xml:space="preserve">Assessment</w:t>
      </w:r>
      <w:r w:rsidDel="00000000" w:rsidR="00000000" w:rsidRPr="00000000">
        <w:rPr>
          <w:rtl w:val="0"/>
        </w:rPr>
      </w:r>
    </w:p>
    <w:p w:rsidR="00000000" w:rsidDel="00000000" w:rsidP="00000000" w:rsidRDefault="00000000" w:rsidRPr="00000000" w14:paraId="00000031">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Evaluationof stude</w:t>
      </w:r>
      <w:r w:rsidDel="00000000" w:rsidR="00000000" w:rsidRPr="00000000">
        <w:rPr>
          <w:rFonts w:ascii="Cambria" w:cs="Cambria" w:eastAsia="Cambria" w:hAnsi="Cambria"/>
          <w:u w:val="single"/>
          <w:rtl w:val="0"/>
        </w:rPr>
        <w:t xml:space="preserve">nts should be </w:t>
      </w:r>
      <w:r w:rsidDel="00000000" w:rsidR="00000000" w:rsidRPr="00000000">
        <w:rPr>
          <w:rFonts w:ascii="Cambria" w:cs="Cambria" w:eastAsia="Cambria" w:hAnsi="Cambria"/>
          <w:i w:val="0"/>
          <w:smallCaps w:val="0"/>
          <w:strike w:val="0"/>
          <w:color w:val="000000"/>
          <w:sz w:val="24"/>
          <w:szCs w:val="24"/>
          <w:u w:val="single"/>
          <w:shd w:fill="auto" w:val="clear"/>
          <w:vertAlign w:val="baseline"/>
          <w:rtl w:val="0"/>
        </w:rPr>
        <w:t xml:space="preserve">educative, not just performative</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 Evaluation </w:t>
      </w:r>
      <w:r w:rsidDel="00000000" w:rsidR="00000000" w:rsidRPr="00000000">
        <w:rPr>
          <w:rFonts w:ascii="Cambria" w:cs="Cambria" w:eastAsia="Cambria" w:hAnsi="Cambria"/>
          <w:rtl w:val="0"/>
        </w:rPr>
        <w:t xml:space="preserve">relies on the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writing </w:t>
      </w:r>
      <w:r w:rsidDel="00000000" w:rsidR="00000000" w:rsidRPr="00000000">
        <w:rPr>
          <w:rFonts w:ascii="Cambria" w:cs="Cambria" w:eastAsia="Cambria" w:hAnsi="Cambria"/>
          <w:rtl w:val="0"/>
        </w:rPr>
        <w:t xml:space="preserve">assignments, especially the final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narrative/reflective essay that synthesizes and integrates the whole experience.</w:t>
      </w:r>
    </w:p>
    <w:p w:rsidR="00000000" w:rsidDel="00000000" w:rsidP="00000000" w:rsidRDefault="00000000" w:rsidRPr="00000000" w14:paraId="00000032">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rPr>
      </w:pP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After the experience, mentors, administration, and managers use the student </w:t>
      </w:r>
      <w:r w:rsidDel="00000000" w:rsidR="00000000" w:rsidRPr="00000000">
        <w:rPr>
          <w:rFonts w:ascii="Cambria" w:cs="Cambria" w:eastAsia="Cambria" w:hAnsi="Cambria"/>
          <w:rtl w:val="0"/>
        </w:rPr>
        <w:t xml:space="preserve">responses </w:t>
      </w:r>
      <w:r w:rsidDel="00000000" w:rsidR="00000000" w:rsidRPr="00000000">
        <w:rPr>
          <w:rFonts w:ascii="Cambria" w:cs="Cambria" w:eastAsia="Cambria" w:hAnsi="Cambria"/>
          <w:i w:val="0"/>
          <w:smallCaps w:val="0"/>
          <w:strike w:val="0"/>
          <w:color w:val="000000"/>
          <w:sz w:val="24"/>
          <w:szCs w:val="24"/>
          <w:u w:val="none"/>
          <w:shd w:fill="auto" w:val="clear"/>
          <w:vertAlign w:val="baseline"/>
          <w:rtl w:val="0"/>
        </w:rPr>
        <w:t xml:space="preserve">to evaluate the program. </w:t>
      </w:r>
    </w:p>
    <w:p w:rsidR="00000000" w:rsidDel="00000000" w:rsidP="00000000" w:rsidRDefault="00000000" w:rsidRPr="00000000" w14:paraId="00000033">
      <w:pPr>
        <w:rPr>
          <w:rFonts w:ascii="Cambria" w:cs="Cambria" w:eastAsia="Cambria" w:hAnsi="Cambria"/>
        </w:rPr>
      </w:pPr>
      <w:r w:rsidDel="00000000" w:rsidR="00000000" w:rsidRPr="00000000">
        <w:rPr>
          <w:rtl w:val="0"/>
        </w:rPr>
      </w:r>
    </w:p>
    <w:p w:rsidR="00000000" w:rsidDel="00000000" w:rsidP="00000000" w:rsidRDefault="00000000" w:rsidRPr="00000000" w14:paraId="00000034">
      <w:pPr>
        <w:rPr>
          <w:rFonts w:ascii="Cambria" w:cs="Cambria" w:eastAsia="Cambria" w:hAnsi="Cambria"/>
        </w:rPr>
      </w:pPr>
      <w:r w:rsidDel="00000000" w:rsidR="00000000" w:rsidRPr="00000000">
        <w:rPr>
          <w:rtl w:val="0"/>
        </w:rPr>
      </w:r>
    </w:p>
    <w:p w:rsidR="00000000" w:rsidDel="00000000" w:rsidP="00000000" w:rsidRDefault="00000000" w:rsidRPr="00000000" w14:paraId="00000035">
      <w:pPr>
        <w:rPr>
          <w:rFonts w:ascii="Cambria" w:cs="Cambria" w:eastAsia="Cambria" w:hAnsi="Cambria"/>
        </w:rPr>
      </w:pPr>
      <w:r w:rsidDel="00000000" w:rsidR="00000000" w:rsidRPr="00000000">
        <w:rPr>
          <w:rtl w:val="0"/>
        </w:rPr>
      </w:r>
    </w:p>
    <w:p w:rsidR="00000000" w:rsidDel="00000000" w:rsidP="00000000" w:rsidRDefault="00000000" w:rsidRPr="00000000" w14:paraId="00000036">
      <w:pPr>
        <w:rPr>
          <w:rFonts w:ascii="Cambria" w:cs="Cambria" w:eastAsia="Cambria" w:hAnsi="Cambria"/>
          <w:b w:val="1"/>
        </w:rPr>
      </w:pPr>
      <w:r w:rsidDel="00000000" w:rsidR="00000000" w:rsidRPr="00000000">
        <w:rPr>
          <w:rFonts w:ascii="Cambria" w:cs="Cambria" w:eastAsia="Cambria" w:hAnsi="Cambria"/>
          <w:b w:val="1"/>
          <w:rtl w:val="0"/>
        </w:rPr>
        <w:t xml:space="preserve">References </w:t>
      </w:r>
    </w:p>
    <w:p w:rsidR="00000000" w:rsidDel="00000000" w:rsidP="00000000" w:rsidRDefault="00000000" w:rsidRPr="00000000" w14:paraId="00000037">
      <w:pPr>
        <w:spacing w:line="240" w:lineRule="auto"/>
        <w:ind w:left="0" w:firstLine="0"/>
        <w:rPr>
          <w:rFonts w:ascii="Cambria" w:cs="Cambria" w:eastAsia="Cambria" w:hAnsi="Cambria"/>
        </w:rPr>
      </w:pPr>
      <w:r w:rsidDel="00000000" w:rsidR="00000000" w:rsidRPr="00000000">
        <w:rPr>
          <w:rFonts w:ascii="Cambria" w:cs="Cambria" w:eastAsia="Cambria" w:hAnsi="Cambria"/>
          <w:rtl w:val="0"/>
        </w:rPr>
        <w:t xml:space="preserve">Clark, M. C. &amp; Rossiter, M. (2008), Narrative learning in adulthood. </w:t>
      </w:r>
      <w:r w:rsidDel="00000000" w:rsidR="00000000" w:rsidRPr="00000000">
        <w:rPr>
          <w:rFonts w:ascii="Cambria" w:cs="Cambria" w:eastAsia="Cambria" w:hAnsi="Cambria"/>
          <w:i w:val="1"/>
          <w:rtl w:val="0"/>
        </w:rPr>
        <w:t xml:space="preserve">New Directions for Adult and Continuing Education,</w:t>
      </w:r>
      <w:r w:rsidDel="00000000" w:rsidR="00000000" w:rsidRPr="00000000">
        <w:rPr>
          <w:rFonts w:ascii="Cambria" w:cs="Cambria" w:eastAsia="Cambria" w:hAnsi="Cambria"/>
          <w:rtl w:val="0"/>
        </w:rPr>
        <w:t xml:space="preserve"> </w:t>
      </w:r>
      <w:r w:rsidDel="00000000" w:rsidR="00000000" w:rsidRPr="00000000">
        <w:rPr>
          <w:rFonts w:ascii="Cambria" w:cs="Cambria" w:eastAsia="Cambria" w:hAnsi="Cambria"/>
          <w:i w:val="1"/>
          <w:rtl w:val="0"/>
        </w:rPr>
        <w:t xml:space="preserve">119</w:t>
      </w:r>
      <w:r w:rsidDel="00000000" w:rsidR="00000000" w:rsidRPr="00000000">
        <w:rPr>
          <w:rFonts w:ascii="Cambria" w:cs="Cambria" w:eastAsia="Cambria" w:hAnsi="Cambria"/>
          <w:rtl w:val="0"/>
        </w:rPr>
        <w:t xml:space="preserve">, 61-70. doi:10.1002/ace.306</w:t>
      </w:r>
    </w:p>
    <w:p w:rsidR="00000000" w:rsidDel="00000000" w:rsidP="00000000" w:rsidRDefault="00000000" w:rsidRPr="00000000" w14:paraId="00000038">
      <w:pPr>
        <w:spacing w:line="240" w:lineRule="auto"/>
        <w:ind w:left="0" w:firstLine="0"/>
        <w:rPr>
          <w:rFonts w:ascii="Cambria" w:cs="Cambria" w:eastAsia="Cambria" w:hAnsi="Cambria"/>
        </w:rPr>
      </w:pPr>
      <w:r w:rsidDel="00000000" w:rsidR="00000000" w:rsidRPr="00000000">
        <w:rPr>
          <w:rtl w:val="0"/>
        </w:rPr>
      </w:r>
    </w:p>
    <w:p w:rsidR="00000000" w:rsidDel="00000000" w:rsidP="00000000" w:rsidRDefault="00000000" w:rsidRPr="00000000" w14:paraId="00000039">
      <w:pPr>
        <w:spacing w:line="240" w:lineRule="auto"/>
        <w:ind w:left="0" w:firstLine="0"/>
        <w:rPr>
          <w:rFonts w:ascii="Cambria" w:cs="Cambria" w:eastAsia="Cambria" w:hAnsi="Cambria"/>
        </w:rPr>
      </w:pPr>
      <w:r w:rsidDel="00000000" w:rsidR="00000000" w:rsidRPr="00000000">
        <w:rPr>
          <w:rFonts w:ascii="Cambria" w:cs="Cambria" w:eastAsia="Cambria" w:hAnsi="Cambria"/>
          <w:rtl w:val="0"/>
        </w:rPr>
        <w:t xml:space="preserve">Clark, M. C. (2010). Narrative learning: Its contours and its possibilities. </w:t>
      </w:r>
      <w:r w:rsidDel="00000000" w:rsidR="00000000" w:rsidRPr="00000000">
        <w:rPr>
          <w:rFonts w:ascii="Cambria" w:cs="Cambria" w:eastAsia="Cambria" w:hAnsi="Cambria"/>
          <w:i w:val="1"/>
          <w:rtl w:val="0"/>
        </w:rPr>
        <w:t xml:space="preserve">New Directions for Adult and Continuing Education, 126</w:t>
      </w:r>
      <w:r w:rsidDel="00000000" w:rsidR="00000000" w:rsidRPr="00000000">
        <w:rPr>
          <w:rFonts w:ascii="Cambria" w:cs="Cambria" w:eastAsia="Cambria" w:hAnsi="Cambria"/>
          <w:rtl w:val="0"/>
        </w:rPr>
        <w:t xml:space="preserve">, 3-11. </w:t>
      </w:r>
      <w:hyperlink r:id="rId7">
        <w:r w:rsidDel="00000000" w:rsidR="00000000" w:rsidRPr="00000000">
          <w:rPr>
            <w:rFonts w:ascii="Cambria" w:cs="Cambria" w:eastAsia="Cambria" w:hAnsi="Cambria"/>
            <w:color w:val="1155cc"/>
            <w:u w:val="single"/>
            <w:rtl w:val="0"/>
          </w:rPr>
          <w:t xml:space="preserve">https://doi.org/10.1002/ace.367</w:t>
        </w:r>
      </w:hyperlink>
      <w:r w:rsidDel="00000000" w:rsidR="00000000" w:rsidRPr="00000000">
        <w:rPr>
          <w:rtl w:val="0"/>
        </w:rPr>
      </w:r>
    </w:p>
    <w:p w:rsidR="00000000" w:rsidDel="00000000" w:rsidP="00000000" w:rsidRDefault="00000000" w:rsidRPr="00000000" w14:paraId="0000003A">
      <w:pPr>
        <w:spacing w:line="240" w:lineRule="auto"/>
        <w:rPr>
          <w:rFonts w:ascii="Cambria" w:cs="Cambria" w:eastAsia="Cambria" w:hAnsi="Cambria"/>
        </w:rPr>
      </w:pPr>
      <w:r w:rsidDel="00000000" w:rsidR="00000000" w:rsidRPr="00000000">
        <w:rPr>
          <w:rtl w:val="0"/>
        </w:rPr>
      </w:r>
    </w:p>
    <w:p w:rsidR="00000000" w:rsidDel="00000000" w:rsidP="00000000" w:rsidRDefault="00000000" w:rsidRPr="00000000" w14:paraId="0000003B">
      <w:pPr>
        <w:spacing w:line="240" w:lineRule="auto"/>
        <w:rPr>
          <w:rFonts w:ascii="Cambria" w:cs="Cambria" w:eastAsia="Cambria" w:hAnsi="Cambria"/>
        </w:rPr>
      </w:pPr>
      <w:r w:rsidDel="00000000" w:rsidR="00000000" w:rsidRPr="00000000">
        <w:rPr>
          <w:rFonts w:ascii="Cambria" w:cs="Cambria" w:eastAsia="Cambria" w:hAnsi="Cambria"/>
          <w:rtl w:val="0"/>
        </w:rPr>
        <w:t xml:space="preserve">Harding, T. (2019). “Agentic design of English 399 professional competency-based english internship course”</w:t>
      </w:r>
    </w:p>
    <w:p w:rsidR="00000000" w:rsidDel="00000000" w:rsidP="00000000" w:rsidRDefault="00000000" w:rsidRPr="00000000" w14:paraId="0000003C">
      <w:pPr>
        <w:spacing w:line="240" w:lineRule="auto"/>
        <w:ind w:left="0" w:firstLine="0"/>
        <w:rPr>
          <w:rFonts w:ascii="Cambria" w:cs="Cambria" w:eastAsia="Cambria" w:hAnsi="Cambria"/>
        </w:rPr>
      </w:pPr>
      <w:r w:rsidDel="00000000" w:rsidR="00000000" w:rsidRPr="00000000">
        <w:rPr>
          <w:rtl w:val="0"/>
        </w:rPr>
      </w:r>
    </w:p>
    <w:p w:rsidR="00000000" w:rsidDel="00000000" w:rsidP="00000000" w:rsidRDefault="00000000" w:rsidRPr="00000000" w14:paraId="0000003D">
      <w:pPr>
        <w:spacing w:line="240" w:lineRule="auto"/>
        <w:ind w:left="0" w:firstLine="0"/>
        <w:rPr>
          <w:rFonts w:ascii="Cambria" w:cs="Cambria" w:eastAsia="Cambria" w:hAnsi="Cambria"/>
        </w:rPr>
      </w:pPr>
      <w:r w:rsidDel="00000000" w:rsidR="00000000" w:rsidRPr="00000000">
        <w:rPr>
          <w:rFonts w:ascii="Cambria" w:cs="Cambria" w:eastAsia="Cambria" w:hAnsi="Cambria"/>
          <w:rtl w:val="0"/>
        </w:rPr>
        <w:t xml:space="preserve">Ryan, R. M., &amp; Deci, E. L. (2000). Self-determination theory and the facilitation of intrinsic motivation, social development, and well-being. </w:t>
      </w:r>
      <w:r w:rsidDel="00000000" w:rsidR="00000000" w:rsidRPr="00000000">
        <w:rPr>
          <w:rFonts w:ascii="Cambria" w:cs="Cambria" w:eastAsia="Cambria" w:hAnsi="Cambria"/>
          <w:i w:val="1"/>
          <w:rtl w:val="0"/>
        </w:rPr>
        <w:t xml:space="preserve">American Psychologist</w:t>
      </w:r>
      <w:r w:rsidDel="00000000" w:rsidR="00000000" w:rsidRPr="00000000">
        <w:rPr>
          <w:rFonts w:ascii="Cambria" w:cs="Cambria" w:eastAsia="Cambria" w:hAnsi="Cambria"/>
          <w:rtl w:val="0"/>
        </w:rPr>
        <w:t xml:space="preserve">, 55(1), 68-78. http://dx.doi.org/10.1037/0003-066X.55.1.68</w:t>
      </w:r>
    </w:p>
    <w:p w:rsidR="00000000" w:rsidDel="00000000" w:rsidP="00000000" w:rsidRDefault="00000000" w:rsidRPr="00000000" w14:paraId="0000003E">
      <w:pPr>
        <w:spacing w:line="240" w:lineRule="auto"/>
        <w:rPr>
          <w:rFonts w:ascii="Cambria" w:cs="Cambria" w:eastAsia="Cambria" w:hAnsi="Cambria"/>
        </w:rPr>
      </w:pPr>
      <w:r w:rsidDel="00000000" w:rsidR="00000000" w:rsidRPr="00000000">
        <w:rPr>
          <w:rtl w:val="0"/>
        </w:rPr>
      </w:r>
    </w:p>
    <w:p w:rsidR="00000000" w:rsidDel="00000000" w:rsidP="00000000" w:rsidRDefault="00000000" w:rsidRPr="00000000" w14:paraId="0000003F">
      <w:pPr>
        <w:spacing w:line="240" w:lineRule="auto"/>
        <w:rPr>
          <w:rFonts w:ascii="Cambria" w:cs="Cambria" w:eastAsia="Cambria" w:hAnsi="Cambria"/>
        </w:rPr>
      </w:pPr>
      <w:r w:rsidDel="00000000" w:rsidR="00000000" w:rsidRPr="00000000">
        <w:rPr>
          <w:rFonts w:ascii="Cambria" w:cs="Cambria" w:eastAsia="Cambria" w:hAnsi="Cambria"/>
          <w:rtl w:val="0"/>
        </w:rPr>
        <w:t xml:space="preserve">Yanchar, S. C. (2011). Participational agency. </w:t>
      </w:r>
      <w:r w:rsidDel="00000000" w:rsidR="00000000" w:rsidRPr="00000000">
        <w:rPr>
          <w:rFonts w:ascii="Cambria" w:cs="Cambria" w:eastAsia="Cambria" w:hAnsi="Cambria"/>
          <w:i w:val="1"/>
          <w:rtl w:val="0"/>
        </w:rPr>
        <w:t xml:space="preserve">Review of General Psychology</w:t>
      </w:r>
      <w:r w:rsidDel="00000000" w:rsidR="00000000" w:rsidRPr="00000000">
        <w:rPr>
          <w:rFonts w:ascii="Cambria" w:cs="Cambria" w:eastAsia="Cambria" w:hAnsi="Cambria"/>
          <w:rtl w:val="0"/>
        </w:rPr>
        <w:t xml:space="preserve">, 15(3), 277-287.</w:t>
      </w:r>
    </w:p>
    <w:p w:rsidR="00000000" w:rsidDel="00000000" w:rsidP="00000000" w:rsidRDefault="00000000" w:rsidRPr="00000000" w14:paraId="00000040">
      <w:pPr>
        <w:spacing w:line="240" w:lineRule="auto"/>
        <w:rPr>
          <w:rFonts w:ascii="Cambria" w:cs="Cambria" w:eastAsia="Cambria" w:hAnsi="Cambria"/>
        </w:rPr>
      </w:pPr>
      <w:r w:rsidDel="00000000" w:rsidR="00000000" w:rsidRPr="00000000">
        <w:rPr>
          <w:rtl w:val="0"/>
        </w:rPr>
      </w:r>
    </w:p>
    <w:p w:rsidR="00000000" w:rsidDel="00000000" w:rsidP="00000000" w:rsidRDefault="00000000" w:rsidRPr="00000000" w14:paraId="00000041">
      <w:pPr>
        <w:spacing w:line="240" w:lineRule="auto"/>
        <w:rPr>
          <w:rFonts w:ascii="Cambria" w:cs="Cambria" w:eastAsia="Cambria" w:hAnsi="Cambria"/>
        </w:rPr>
      </w:pPr>
      <w:r w:rsidDel="00000000" w:rsidR="00000000" w:rsidRPr="00000000">
        <w:rPr>
          <w:rFonts w:ascii="Cambria" w:cs="Cambria" w:eastAsia="Cambria" w:hAnsi="Cambria"/>
          <w:rtl w:val="0"/>
        </w:rPr>
        <w:t xml:space="preserve">Yanchar, S. C., &amp; Spackman, J. S. (2012). Agency and learning: Some implications for educational technology theory and research. </w:t>
      </w:r>
      <w:r w:rsidDel="00000000" w:rsidR="00000000" w:rsidRPr="00000000">
        <w:rPr>
          <w:rFonts w:ascii="Cambria" w:cs="Cambria" w:eastAsia="Cambria" w:hAnsi="Cambria"/>
          <w:i w:val="1"/>
          <w:rtl w:val="0"/>
        </w:rPr>
        <w:t xml:space="preserve">Educational Technology</w:t>
      </w:r>
      <w:r w:rsidDel="00000000" w:rsidR="00000000" w:rsidRPr="00000000">
        <w:rPr>
          <w:rFonts w:ascii="Cambria" w:cs="Cambria" w:eastAsia="Cambria" w:hAnsi="Cambria"/>
          <w:rtl w:val="0"/>
        </w:rPr>
        <w:t xml:space="preserve">, 52(5), 3-13.</w:t>
      </w:r>
    </w:p>
    <w:p w:rsidR="00000000" w:rsidDel="00000000" w:rsidP="00000000" w:rsidRDefault="00000000" w:rsidRPr="00000000" w14:paraId="00000042">
      <w:pPr>
        <w:spacing w:line="240" w:lineRule="auto"/>
        <w:rPr>
          <w:rFonts w:ascii="Cambria" w:cs="Cambria" w:eastAsia="Cambria" w:hAnsi="Cambria"/>
        </w:rPr>
      </w:pPr>
      <w:r w:rsidDel="00000000" w:rsidR="00000000" w:rsidRPr="00000000">
        <w:rPr>
          <w:rtl w:val="0"/>
        </w:rPr>
      </w:r>
    </w:p>
    <w:p w:rsidR="00000000" w:rsidDel="00000000" w:rsidP="00000000" w:rsidRDefault="00000000" w:rsidRPr="00000000" w14:paraId="00000043">
      <w:pPr>
        <w:spacing w:line="240" w:lineRule="auto"/>
        <w:rPr>
          <w:rFonts w:ascii="Cambria" w:cs="Cambria" w:eastAsia="Cambria" w:hAnsi="Cambria"/>
        </w:rPr>
      </w:pPr>
      <w:r w:rsidDel="00000000" w:rsidR="00000000" w:rsidRPr="00000000">
        <w:rPr>
          <w:rFonts w:ascii="Cambria" w:cs="Cambria" w:eastAsia="Cambria" w:hAnsi="Cambria"/>
          <w:rtl w:val="0"/>
        </w:rPr>
        <w:t xml:space="preserve">Yanchar, S. C., Spackman, J. S., &amp; Faulconer, J. E. (2013). Learning as embodied familiarization.</w:t>
      </w:r>
      <w:r w:rsidDel="00000000" w:rsidR="00000000" w:rsidRPr="00000000">
        <w:rPr>
          <w:rFonts w:ascii="Cambria" w:cs="Cambria" w:eastAsia="Cambria" w:hAnsi="Cambria"/>
          <w:i w:val="1"/>
          <w:rtl w:val="0"/>
        </w:rPr>
        <w:t xml:space="preserve"> Journal of Theoretical and Philosophical Psychology</w:t>
      </w:r>
      <w:r w:rsidDel="00000000" w:rsidR="00000000" w:rsidRPr="00000000">
        <w:rPr>
          <w:rFonts w:ascii="Cambria" w:cs="Cambria" w:eastAsia="Cambria" w:hAnsi="Cambria"/>
          <w:rtl w:val="0"/>
        </w:rPr>
        <w:t xml:space="preserve">, 33(4), 216-232.</w:t>
      </w:r>
    </w:p>
    <w:p w:rsidR="00000000" w:rsidDel="00000000" w:rsidP="00000000" w:rsidRDefault="00000000" w:rsidRPr="00000000" w14:paraId="00000044">
      <w:pPr>
        <w:rPr>
          <w:rFonts w:ascii="Cambria" w:cs="Cambria" w:eastAsia="Cambria" w:hAnsi="Cambria"/>
        </w:rPr>
      </w:pPr>
      <w:r w:rsidDel="00000000" w:rsidR="00000000" w:rsidRPr="00000000">
        <w:rPr>
          <w:rtl w:val="0"/>
        </w:rPr>
      </w:r>
    </w:p>
    <w:p w:rsidR="00000000" w:rsidDel="00000000" w:rsidP="00000000" w:rsidRDefault="00000000" w:rsidRPr="00000000" w14:paraId="00000045">
      <w:pPr>
        <w:rPr>
          <w:rFonts w:ascii="Cambria" w:cs="Cambria" w:eastAsia="Cambria" w:hAnsi="Cambria"/>
        </w:rPr>
      </w:pPr>
      <w:r w:rsidDel="00000000" w:rsidR="00000000" w:rsidRPr="00000000">
        <w:rPr>
          <w:rtl w:val="0"/>
        </w:rPr>
      </w:r>
    </w:p>
    <w:p w:rsidR="00000000" w:rsidDel="00000000" w:rsidP="00000000" w:rsidRDefault="00000000" w:rsidRPr="00000000" w14:paraId="00000046">
      <w:pPr>
        <w:rPr>
          <w:rFonts w:ascii="Cambria" w:cs="Cambria" w:eastAsia="Cambria" w:hAnsi="Cambria"/>
        </w:rPr>
      </w:pPr>
      <w:r w:rsidDel="00000000" w:rsidR="00000000" w:rsidRPr="00000000">
        <w:rPr>
          <w:rtl w:val="0"/>
        </w:rPr>
      </w:r>
    </w:p>
    <w:p w:rsidR="00000000" w:rsidDel="00000000" w:rsidP="00000000" w:rsidRDefault="00000000" w:rsidRPr="00000000" w14:paraId="00000047">
      <w:pPr>
        <w:rPr>
          <w:rFonts w:ascii="Cambria" w:cs="Cambria" w:eastAsia="Cambria" w:hAnsi="Cambria"/>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4F6D8C"/>
    <w:pPr>
      <w:ind w:left="720"/>
      <w:contextualSpacing w:val="1"/>
    </w:pPr>
  </w:style>
  <w:style w:type="character" w:styleId="Hyperlink">
    <w:name w:val="Hyperlink"/>
    <w:basedOn w:val="DefaultParagraphFont"/>
    <w:uiPriority w:val="99"/>
    <w:semiHidden w:val="1"/>
    <w:unhideWhenUsed w:val="1"/>
    <w:rsid w:val="00BF4FCD"/>
    <w:rPr>
      <w:color w:val="0000ff"/>
      <w:u w:val="single"/>
    </w:rPr>
  </w:style>
  <w:style w:type="character" w:styleId="CommentReference">
    <w:name w:val="annotation reference"/>
    <w:basedOn w:val="DefaultParagraphFont"/>
    <w:uiPriority w:val="99"/>
    <w:semiHidden w:val="1"/>
    <w:unhideWhenUsed w:val="1"/>
    <w:rsid w:val="00191628"/>
    <w:rPr>
      <w:sz w:val="16"/>
      <w:szCs w:val="16"/>
    </w:rPr>
  </w:style>
  <w:style w:type="paragraph" w:styleId="CommentText">
    <w:name w:val="annotation text"/>
    <w:basedOn w:val="Normal"/>
    <w:link w:val="CommentTextChar"/>
    <w:uiPriority w:val="99"/>
    <w:semiHidden w:val="1"/>
    <w:unhideWhenUsed w:val="1"/>
    <w:rsid w:val="00191628"/>
    <w:rPr>
      <w:sz w:val="20"/>
      <w:szCs w:val="20"/>
    </w:rPr>
  </w:style>
  <w:style w:type="character" w:styleId="CommentTextChar" w:customStyle="1">
    <w:name w:val="Comment Text Char"/>
    <w:basedOn w:val="DefaultParagraphFont"/>
    <w:link w:val="CommentText"/>
    <w:uiPriority w:val="99"/>
    <w:semiHidden w:val="1"/>
    <w:rsid w:val="00191628"/>
    <w:rPr>
      <w:sz w:val="20"/>
      <w:szCs w:val="20"/>
    </w:rPr>
  </w:style>
  <w:style w:type="paragraph" w:styleId="CommentSubject">
    <w:name w:val="annotation subject"/>
    <w:basedOn w:val="CommentText"/>
    <w:next w:val="CommentText"/>
    <w:link w:val="CommentSubjectChar"/>
    <w:uiPriority w:val="99"/>
    <w:semiHidden w:val="1"/>
    <w:unhideWhenUsed w:val="1"/>
    <w:rsid w:val="00191628"/>
    <w:rPr>
      <w:b w:val="1"/>
      <w:bCs w:val="1"/>
    </w:rPr>
  </w:style>
  <w:style w:type="character" w:styleId="CommentSubjectChar" w:customStyle="1">
    <w:name w:val="Comment Subject Char"/>
    <w:basedOn w:val="CommentTextChar"/>
    <w:link w:val="CommentSubject"/>
    <w:uiPriority w:val="99"/>
    <w:semiHidden w:val="1"/>
    <w:rsid w:val="00191628"/>
    <w:rPr>
      <w:b w:val="1"/>
      <w:bCs w:val="1"/>
      <w:sz w:val="20"/>
      <w:szCs w:val="20"/>
    </w:rPr>
  </w:style>
  <w:style w:type="paragraph" w:styleId="BalloonText">
    <w:name w:val="Balloon Text"/>
    <w:basedOn w:val="Normal"/>
    <w:link w:val="BalloonTextChar"/>
    <w:uiPriority w:val="99"/>
    <w:semiHidden w:val="1"/>
    <w:unhideWhenUsed w:val="1"/>
    <w:rsid w:val="00191628"/>
    <w:rPr>
      <w:rFonts w:ascii="Times New Roman" w:cs="Times New Roman" w:hAnsi="Times New Roman"/>
      <w:sz w:val="18"/>
      <w:szCs w:val="18"/>
    </w:rPr>
  </w:style>
  <w:style w:type="character" w:styleId="BalloonTextChar" w:customStyle="1">
    <w:name w:val="Balloon Text Char"/>
    <w:basedOn w:val="DefaultParagraphFont"/>
    <w:link w:val="BalloonText"/>
    <w:uiPriority w:val="99"/>
    <w:semiHidden w:val="1"/>
    <w:rsid w:val="00191628"/>
    <w:rPr>
      <w:rFonts w:ascii="Times New Roman" w:cs="Times New Roman" w:hAnsi="Times New Roman"/>
      <w:sz w:val="18"/>
      <w:szCs w:val="1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i.org/10.1002/ace.3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BkbNouBY5XB+bGu+DSJl8YJLog==">AMUW2mVeLqllIixlyomc0ZYtmQo0W60Q6HYN0VA8GUalqCnA4IyxR/j+lP+wn2uphNX9Gj4neRvmuZl7UyxTWu/WlMGAnNcZGWWCuOpLJI3yM1Iyo5gQwGw+aDvolFb7qYMz6xrJruZM0GyJri98hgR27RKUpcxoSg==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2020-08-03T15:23:00Z</dcterms:created>
  <dc:creator>John Bennion</dc:creator>
</cp:coreProperties>
</file>